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PLANIFICACIÓN DE LA UTILIZACIÓN DE LOS</w:t>
      </w:r>
    </w:p>
    <w:p w:rsidR="008D5167" w:rsidRPr="008D5167" w:rsidRDefault="008D5167" w:rsidP="008D5167">
      <w:pPr>
        <w:pBdr>
          <w:bottom w:val="single" w:sz="6" w:space="11" w:color="78B3BF"/>
        </w:pBdr>
        <w:shd w:val="clear" w:color="auto" w:fill="FFFFFF"/>
        <w:spacing w:after="300" w:line="240" w:lineRule="auto"/>
        <w:ind w:left="-300" w:right="-300"/>
        <w:outlineLvl w:val="0"/>
        <w:rPr>
          <w:rFonts w:ascii="Verdana" w:eastAsia="Times New Roman" w:hAnsi="Verdana" w:cs="Times New Roman"/>
          <w:color w:val="004B76"/>
          <w:kern w:val="36"/>
          <w:sz w:val="35"/>
          <w:szCs w:val="35"/>
        </w:rPr>
      </w:pPr>
      <w:r w:rsidRPr="008D5167">
        <w:rPr>
          <w:rFonts w:ascii="Verdana" w:eastAsia="Times New Roman" w:hAnsi="Verdana" w:cs="Times New Roman"/>
          <w:color w:val="004B76"/>
          <w:kern w:val="36"/>
          <w:sz w:val="35"/>
          <w:szCs w:val="35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RECURSOS INFORMÁTICOS.</w:t>
      </w:r>
    </w:p>
    <w:p w:rsidR="008D5167" w:rsidRPr="008D5167" w:rsidRDefault="008D5167" w:rsidP="008D5167">
      <w:pPr>
        <w:pBdr>
          <w:bottom w:val="single" w:sz="6" w:space="11" w:color="78B3BF"/>
        </w:pBdr>
        <w:shd w:val="clear" w:color="auto" w:fill="FFFFFF"/>
        <w:spacing w:after="300" w:line="240" w:lineRule="auto"/>
        <w:ind w:left="-300" w:right="-300"/>
        <w:outlineLvl w:val="0"/>
        <w:rPr>
          <w:rFonts w:ascii="Verdana" w:eastAsia="Times New Roman" w:hAnsi="Verdana" w:cs="Times New Roman"/>
          <w:color w:val="004B76"/>
          <w:kern w:val="36"/>
          <w:sz w:val="35"/>
          <w:szCs w:val="35"/>
        </w:rPr>
      </w:pPr>
      <w:r w:rsidRPr="008D5167">
        <w:rPr>
          <w:rFonts w:ascii="Verdana" w:eastAsia="Times New Roman" w:hAnsi="Verdana" w:cs="Times New Roman"/>
          <w:color w:val="004B76"/>
          <w:kern w:val="36"/>
          <w:sz w:val="35"/>
          <w:szCs w:val="35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pBdr>
          <w:bottom w:val="single" w:sz="6" w:space="11" w:color="78B3BF"/>
        </w:pBdr>
        <w:shd w:val="clear" w:color="auto" w:fill="FFFFFF"/>
        <w:spacing w:after="300" w:line="240" w:lineRule="auto"/>
        <w:ind w:left="-300" w:right="-300"/>
        <w:outlineLvl w:val="0"/>
        <w:rPr>
          <w:rFonts w:ascii="Verdana" w:eastAsia="Times New Roman" w:hAnsi="Verdana" w:cs="Times New Roman"/>
          <w:color w:val="004B76"/>
          <w:kern w:val="36"/>
          <w:sz w:val="35"/>
          <w:szCs w:val="35"/>
        </w:rPr>
      </w:pPr>
      <w:r w:rsidRPr="008D5167">
        <w:rPr>
          <w:rFonts w:ascii="Verdana" w:eastAsia="Times New Roman" w:hAnsi="Verdana" w:cs="Times New Roman"/>
          <w:color w:val="004B76"/>
          <w:kern w:val="36"/>
          <w:sz w:val="35"/>
          <w:szCs w:val="35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PROYECTO PLUMIER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INFORMÁTICA: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LA TECNOLOGÍA DE LA INFORMACIÓN Y LA COMUNICACIÓN.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Se programa para que los alumnos/as de Infantil y de Educación Primaria asistan al aula de informática con el fin de familiarizarse en el funcionamiento de los ordenadores, y para realizar actividades de ampliación de conocimientos propios de cada ciclo en sus distintas áreas.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AULA PLUMIER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both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           Todos los programas usados son los aportados por la Consejería de Educación y sacados de su página  web “educarm.es”.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           1.-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MURCIA CICLOS: MATEMÁTICAS Y LENGUAJE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 Con programas a nivel de Infantil y los tres ciclos de Primaria.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           2.-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MURCIA CLIC 2006 – NUEVO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 Es un programa del entorno Clic. Tiene programas de todas las áreas de Infantil y Primaria y cada área con todos los temas del currículo.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70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INFANTIL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Comunicación y Representación.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Identidad y Autonomía.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Medio Físico y Social.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1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lastRenderedPageBreak/>
        <w:t>PRIMARIA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Lengua.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Matemáticas.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Cono. Medio.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Ø 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Educ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 Física.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Música.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Ø  </w:t>
      </w:r>
      <w:proofErr w:type="gram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Inglés</w:t>
      </w:r>
      <w:proofErr w:type="gram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Ø  </w:t>
      </w:r>
      <w:proofErr w:type="gram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Francés</w:t>
      </w:r>
      <w:proofErr w:type="gram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2136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Religión.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3.- El entorno del programa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JCLIC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con 122 programas a nivel Infantil y Primaria.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4.- En inglés se tienen instalados los programas de la Editorial Oxford: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TILLY´S WORD FUN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, para el 1º ciclo;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OSCAR´S WORD FUN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, para el 2º ciclo y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CLEVER KIDS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, para el 3º ciclo.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5.- Para alumnos inmigrantes marroquíes se ha usado el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ESPAÑOL – ÁRABE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para recién llegados.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6.- Otros muchos más programas que el profesorado utiliza de los que las distintas editoriales aportan con los libros de texto.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7.- También en educarm.es, dentro del apartado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i/>
          <w:iCs/>
          <w:color w:val="042A32"/>
          <w:sz w:val="18"/>
        </w:rPr>
        <w:t>recursos 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se  trabaja “recursos online”, recursos Clic y juegos educativos.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Por internet, buscar temas relacionados con las unidades didácticas tratadas en clase y realizar trabajos. (Buscar información).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INFORMÁTICA ALUMNOS CON NECESIDADES EDUCATIVAS ESPECIALES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Los profesores de P.T. y A.L. desarrollan su trabajo de apoyo en sus respectivas aulas con los grupos que tienen alumnos con necesidades y  trabajan con los siguientes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programas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CLIC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2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 Se trabaja el área de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Comunicación y Representación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2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lastRenderedPageBreak/>
        <w:t>- Ordenar tamaños.                           - Uno, dos, ninguno.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 Formas.                                           - Conceptos básicos. Materiales de Infantil.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 Cuento de los números.                  - Contar del 1 al 9.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 Ordenar tamaños.                           - Secuencias temporales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 Contemos del 1 al 10.                     - Clic infantil.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 TEC conceptos básicos.                 - Ven a leer 1, 2 y 3.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2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Identidad y autonomía personal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Inteligencia espacial.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2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Área de matemáticas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Geometría para Primaria.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Las tablas de multiplicar II.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Ordenar números.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La numeración del 1 al 100.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Series.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42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Ø </w:t>
      </w:r>
      <w:r w:rsidRPr="008D5167">
        <w:rPr>
          <w:rFonts w:ascii="Verdana" w:eastAsia="Times New Roman" w:hAnsi="Verdana" w:cs="Times New Roman"/>
          <w:color w:val="042A32"/>
          <w:sz w:val="18"/>
        </w:rPr>
        <w:t> </w:t>
      </w: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Lengua Castellana</w:t>
      </w: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: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-          Ven a leer 1, 2, 3, 4 y 5.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ind w:left="1068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-          Grupos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cl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,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bl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,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gl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,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pl</w:t>
      </w:r>
      <w:proofErr w:type="spellEnd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 xml:space="preserve"> y </w:t>
      </w:r>
      <w:proofErr w:type="spellStart"/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fl.</w:t>
      </w:r>
      <w:proofErr w:type="spellEnd"/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HORARIO DEL AULA DE INFORMÁTICA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CURSO 2009/2010.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lastRenderedPageBreak/>
        <w:t> </w:t>
      </w:r>
    </w:p>
    <w:tbl>
      <w:tblPr>
        <w:tblW w:w="75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"/>
        <w:gridCol w:w="1241"/>
        <w:gridCol w:w="1241"/>
        <w:gridCol w:w="1416"/>
        <w:gridCol w:w="1241"/>
        <w:gridCol w:w="1631"/>
      </w:tblGrid>
      <w:tr w:rsidR="008D5167" w:rsidRPr="008D5167" w:rsidTr="008D5167">
        <w:trPr>
          <w:trHeight w:val="36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2 horas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LUNES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MARTES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MIÉRCOLES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       </w:t>
            </w: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VIERNES</w:t>
            </w:r>
          </w:p>
        </w:tc>
      </w:tr>
      <w:tr w:rsidR="008D5167" w:rsidRPr="008D5167" w:rsidTr="008D5167">
        <w:trPr>
          <w:trHeight w:val="84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1ª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9 – 10,30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1º A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R.M.I.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6º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5º 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3º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1º B</w:t>
            </w:r>
          </w:p>
        </w:tc>
      </w:tr>
      <w:tr w:rsidR="008D5167" w:rsidRPr="008D5167" w:rsidTr="008D5167">
        <w:trPr>
          <w:trHeight w:val="84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2ª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10,30 - 11,30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6º 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2º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3º 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5 B</w:t>
            </w:r>
          </w:p>
        </w:tc>
      </w:tr>
      <w:tr w:rsidR="008D5167" w:rsidRPr="008D5167" w:rsidTr="008D5167">
        <w:trPr>
          <w:trHeight w:val="30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E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C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E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O</w:t>
            </w:r>
          </w:p>
        </w:tc>
      </w:tr>
      <w:tr w:rsidR="008D5167" w:rsidRPr="008D5167" w:rsidTr="008D5167">
        <w:trPr>
          <w:trHeight w:val="84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3ª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12 - 13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2º 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0" w:line="240" w:lineRule="auto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   4ºB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 B</w:t>
            </w:r>
          </w:p>
        </w:tc>
      </w:tr>
      <w:tr w:rsidR="008D5167" w:rsidRPr="008D5167" w:rsidTr="008D5167">
        <w:trPr>
          <w:trHeight w:val="840"/>
        </w:trPr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4ª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13 - 14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R.M.I.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INFANTIL</w:t>
            </w:r>
          </w:p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 B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R.M.I.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5º A</w:t>
            </w:r>
          </w:p>
        </w:tc>
        <w:tc>
          <w:tcPr>
            <w:tcW w:w="1530" w:type="dxa"/>
            <w:tcBorders>
              <w:top w:val="single" w:sz="6" w:space="0" w:color="78B3BF"/>
              <w:left w:val="single" w:sz="6" w:space="0" w:color="78B3BF"/>
              <w:bottom w:val="single" w:sz="6" w:space="0" w:color="78B3BF"/>
              <w:right w:val="single" w:sz="6" w:space="0" w:color="78B3BF"/>
            </w:tcBorders>
            <w:shd w:val="clear" w:color="auto" w:fill="C7E4EB"/>
            <w:tcMar>
              <w:top w:w="6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4º A</w:t>
            </w:r>
          </w:p>
        </w:tc>
      </w:tr>
    </w:tbl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pBdr>
          <w:bottom w:val="single" w:sz="6" w:space="11" w:color="78B3BF"/>
        </w:pBdr>
        <w:shd w:val="clear" w:color="auto" w:fill="AFD5DE"/>
        <w:spacing w:after="300" w:line="240" w:lineRule="auto"/>
        <w:ind w:left="-300" w:right="-300"/>
        <w:outlineLvl w:val="0"/>
        <w:rPr>
          <w:rFonts w:ascii="Verdana" w:eastAsia="Times New Roman" w:hAnsi="Verdana" w:cs="Times New Roman"/>
          <w:color w:val="004B76"/>
          <w:kern w:val="36"/>
          <w:sz w:val="35"/>
          <w:szCs w:val="35"/>
        </w:rPr>
      </w:pPr>
      <w:r w:rsidRPr="008D5167">
        <w:rPr>
          <w:rFonts w:ascii="Verdana" w:eastAsia="Times New Roman" w:hAnsi="Verdana" w:cs="Times New Roman"/>
          <w:color w:val="004B76"/>
          <w:kern w:val="36"/>
          <w:sz w:val="21"/>
          <w:szCs w:val="21"/>
        </w:rPr>
        <w:t>1       GRAFICO 1: Cursos  por hora en el ordenador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42A32"/>
          <w:sz w:val="18"/>
          <w:szCs w:val="18"/>
        </w:rPr>
        <w:drawing>
          <wp:inline distT="0" distB="0" distL="0" distR="0">
            <wp:extent cx="4953000" cy="3190875"/>
            <wp:effectExtent l="19050" t="0" r="0" b="0"/>
            <wp:docPr id="1" name="Imagen 1" descr="http://files.lola-educadora.webnode.es/200000017-02a00039d4/graficos%20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lola-educadora.webnode.es/200000017-02a00039d4/graficos%201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lastRenderedPageBreak/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HORARIO DE ORDENADORES PORTÁTILES Y CAÑÓN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 xml:space="preserve">ANEXO II -  AULA DE </w:t>
      </w:r>
      <w:proofErr w:type="spellStart"/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AUDIOVISUAl</w:t>
      </w:r>
      <w:proofErr w:type="spellEnd"/>
    </w:p>
    <w:tbl>
      <w:tblPr>
        <w:tblpPr w:leftFromText="45" w:rightFromText="45" w:bottomFromText="240" w:vertAnchor="text"/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2"/>
        <w:gridCol w:w="1552"/>
        <w:gridCol w:w="1552"/>
        <w:gridCol w:w="1553"/>
        <w:gridCol w:w="1553"/>
        <w:gridCol w:w="1553"/>
      </w:tblGrid>
      <w:tr w:rsidR="008D5167" w:rsidRPr="008D5167" w:rsidTr="008D5167">
        <w:trPr>
          <w:trHeight w:val="37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pBdr>
                <w:bottom w:val="single" w:sz="6" w:space="11" w:color="78B3BF"/>
              </w:pBdr>
              <w:shd w:val="clear" w:color="auto" w:fill="AFD5DE"/>
              <w:spacing w:after="300" w:line="240" w:lineRule="auto"/>
              <w:ind w:left="-300" w:right="-300"/>
              <w:outlineLvl w:val="0"/>
              <w:rPr>
                <w:rFonts w:ascii="Verdana" w:eastAsia="Times New Roman" w:hAnsi="Verdana" w:cs="Times New Roman"/>
                <w:color w:val="004B76"/>
                <w:kern w:val="36"/>
                <w:sz w:val="33"/>
                <w:szCs w:val="33"/>
              </w:rPr>
            </w:pPr>
            <w:r w:rsidRPr="008D5167">
              <w:rPr>
                <w:rFonts w:ascii="Verdana" w:eastAsia="Times New Roman" w:hAnsi="Verdana" w:cs="Times New Roman"/>
                <w:color w:val="004B76"/>
                <w:kern w:val="36"/>
                <w:sz w:val="17"/>
                <w:szCs w:val="17"/>
              </w:rPr>
              <w:t>2h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LUNES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MARTES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MIÉRCOLES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VIERNES</w:t>
            </w:r>
          </w:p>
        </w:tc>
      </w:tr>
      <w:tr w:rsidR="008D5167" w:rsidRPr="008D5167" w:rsidTr="008D5167">
        <w:trPr>
          <w:trHeight w:val="900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1ª</w:t>
            </w:r>
          </w:p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9 – 10,30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5º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2º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</w:tr>
      <w:tr w:rsidR="008D5167" w:rsidRPr="008D5167" w:rsidTr="008D5167">
        <w:trPr>
          <w:trHeight w:val="900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2ª</w:t>
            </w:r>
          </w:p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10,30 – 11,30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4º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</w:tr>
      <w:tr w:rsidR="008D5167" w:rsidRPr="008D5167" w:rsidTr="008D5167">
        <w:trPr>
          <w:trHeight w:val="31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C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O</w:t>
            </w:r>
          </w:p>
        </w:tc>
      </w:tr>
      <w:tr w:rsidR="008D5167" w:rsidRPr="008D5167" w:rsidTr="008D5167">
        <w:trPr>
          <w:trHeight w:val="900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3ª</w:t>
            </w:r>
          </w:p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12 – 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3º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6º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2º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0" w:line="240" w:lineRule="auto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  1º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5º B</w:t>
            </w:r>
          </w:p>
        </w:tc>
      </w:tr>
      <w:tr w:rsidR="008D5167" w:rsidRPr="008D5167" w:rsidTr="008D5167">
        <w:trPr>
          <w:trHeight w:val="900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4ª</w:t>
            </w:r>
          </w:p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13 - 14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6º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b/>
                <w:bCs/>
                <w:color w:val="042A32"/>
                <w:sz w:val="17"/>
              </w:rPr>
              <w:t>1º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167" w:rsidRPr="008D5167" w:rsidRDefault="008D5167" w:rsidP="008D516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</w:pPr>
            <w:r w:rsidRPr="008D5167">
              <w:rPr>
                <w:rFonts w:ascii="Verdana" w:eastAsia="Times New Roman" w:hAnsi="Verdana" w:cs="Times New Roman"/>
                <w:color w:val="042A32"/>
                <w:sz w:val="17"/>
                <w:szCs w:val="17"/>
              </w:rPr>
              <w:t> </w:t>
            </w:r>
          </w:p>
        </w:tc>
      </w:tr>
    </w:tbl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b/>
          <w:bCs/>
          <w:color w:val="042A32"/>
          <w:sz w:val="18"/>
        </w:rPr>
        <w:t>GRAFICO 2: Nº de horas de grupos  en sala de audiovisuales (portátiles y cañón)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042A32"/>
          <w:sz w:val="18"/>
          <w:szCs w:val="18"/>
        </w:rPr>
      </w:pPr>
      <w:r w:rsidRPr="008D5167">
        <w:rPr>
          <w:rFonts w:ascii="Verdana" w:eastAsia="Times New Roman" w:hAnsi="Verdana" w:cs="Times New Roman"/>
          <w:color w:val="042A32"/>
          <w:sz w:val="18"/>
          <w:szCs w:val="18"/>
        </w:rPr>
        <w:t> </w:t>
      </w:r>
    </w:p>
    <w:p w:rsidR="008D5167" w:rsidRPr="008D5167" w:rsidRDefault="008D5167" w:rsidP="008D5167">
      <w:pPr>
        <w:shd w:val="clear" w:color="auto" w:fill="FFFFFF"/>
        <w:spacing w:after="240" w:line="240" w:lineRule="atLeast"/>
        <w:jc w:val="center"/>
        <w:rPr>
          <w:rFonts w:ascii="Verdana" w:eastAsia="Times New Roman" w:hAnsi="Verdana" w:cs="Times New Roman"/>
          <w:color w:val="042A32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42A32"/>
          <w:sz w:val="18"/>
          <w:szCs w:val="18"/>
        </w:rPr>
        <w:drawing>
          <wp:inline distT="0" distB="0" distL="0" distR="0">
            <wp:extent cx="5534025" cy="3209925"/>
            <wp:effectExtent l="19050" t="0" r="9525" b="0"/>
            <wp:docPr id="2" name="Imagen 2" descr="http://files.lola-educadora.webnode.es/200000018-8c3678d2ff/grafico%20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lola-educadora.webnode.es/200000018-8c3678d2ff/grafico%201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D3" w:rsidRDefault="003D3ED3"/>
    <w:sectPr w:rsidR="003D3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5167"/>
    <w:rsid w:val="003D3ED3"/>
    <w:rsid w:val="008D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D5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D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D5167"/>
    <w:rPr>
      <w:b/>
      <w:bCs/>
    </w:rPr>
  </w:style>
  <w:style w:type="character" w:customStyle="1" w:styleId="apple-converted-space">
    <w:name w:val="apple-converted-space"/>
    <w:basedOn w:val="Fuentedeprrafopredeter"/>
    <w:rsid w:val="008D5167"/>
  </w:style>
  <w:style w:type="character" w:styleId="nfasis">
    <w:name w:val="Emphasis"/>
    <w:basedOn w:val="Fuentedeprrafopredeter"/>
    <w:uiPriority w:val="20"/>
    <w:qFormat/>
    <w:rsid w:val="008D516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3107</Characters>
  <Application>Microsoft Office Word</Application>
  <DocSecurity>0</DocSecurity>
  <Lines>25</Lines>
  <Paragraphs>7</Paragraphs>
  <ScaleCrop>false</ScaleCrop>
  <Company>.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2012-04-17T20:41:00Z</dcterms:created>
  <dcterms:modified xsi:type="dcterms:W3CDTF">2012-04-17T20:41:00Z</dcterms:modified>
</cp:coreProperties>
</file>